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5564" w:rsidRDefault="00E05564" w:rsidP="00E05564">
      <w:pPr>
        <w:jc w:val="center"/>
        <w:rPr>
          <w:rFonts w:ascii="Amiri" w:hAnsi="Amiri" w:cs="Amiri"/>
          <w:color w:val="5B5B58"/>
          <w:sz w:val="28"/>
          <w:szCs w:val="28"/>
          <w:shd w:val="clear" w:color="auto" w:fill="FFFFFF"/>
          <w:rtl/>
        </w:rPr>
      </w:pPr>
      <w:r w:rsidRPr="0036427E">
        <w:rPr>
          <w:rFonts w:ascii="Amiri" w:hAnsi="Amiri" w:cs="Amiri" w:hint="cs"/>
          <w:color w:val="5B5B58"/>
          <w:sz w:val="28"/>
          <w:szCs w:val="28"/>
          <w:shd w:val="clear" w:color="auto" w:fill="FFFFFF"/>
          <w:rtl/>
        </w:rPr>
        <w:t>﷽</w:t>
      </w:r>
    </w:p>
    <w:p w:rsidR="00CD417D" w:rsidRPr="004E7A14" w:rsidRDefault="00CD417D" w:rsidP="0016308C">
      <w:pPr>
        <w:autoSpaceDE w:val="0"/>
        <w:autoSpaceDN w:val="0"/>
        <w:bidi/>
        <w:adjustRightInd w:val="0"/>
        <w:spacing w:before="240" w:line="276" w:lineRule="auto"/>
        <w:jc w:val="center"/>
        <w:rPr>
          <w:rFonts w:ascii="KFGQPC Uthman Taha Naskh" w:hAnsi="KFGQPC Uthman Taha Naskh" w:cs="KFGQPC Uthman Taha Naskh"/>
          <w:sz w:val="48"/>
          <w:szCs w:val="48"/>
          <w:rtl/>
        </w:rPr>
      </w:pPr>
      <w:r w:rsidRPr="004E7A14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العَقِيدة </w:t>
      </w:r>
      <w:proofErr w:type="spellStart"/>
      <w:r w:rsidRPr="004E7A14">
        <w:rPr>
          <w:rFonts w:ascii="KFGQPC Uthman Taha Naskh" w:hAnsi="KFGQPC Uthman Taha Naskh" w:cs="KFGQPC Uthman Taha Naskh" w:hint="cs"/>
          <w:sz w:val="48"/>
          <w:szCs w:val="48"/>
          <w:rtl/>
        </w:rPr>
        <w:t>النَّسَفِيَّة</w:t>
      </w:r>
      <w:proofErr w:type="spellEnd"/>
    </w:p>
    <w:p w:rsidR="001D06C1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الَ أَه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لُ الحَقِّ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حَق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قُ الأ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اءِ ث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ابِتَةٌ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عِل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 بِه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مُتَحقِّقٌ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خ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افاً </w:t>
      </w:r>
      <w:proofErr w:type="spellStart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لس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ُوف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سْط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proofErr w:type="spellEnd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CD417D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ابُ ال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عِل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مِ 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خَل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قِ ثَل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اث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ةٌ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الحَو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اسُّ السَّل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يمَةُ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خَبَرُ الصَّادِق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والعَق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9A550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8E53F8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الحَواسُّ خم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سٌ: السَّم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عُ، و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بَصَرُ، 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الشَّمُّ، 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الذَّو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اللَّمْسُّ، 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كُلِّ حَاسَّةٍ مِن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وقَفُ عَلىَ مَا</w:t>
      </w:r>
      <w:r w:rsidR="009C1038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وُضِعَت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E96C33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96C33" w:rsidRPr="00E96C33">
        <w:rPr>
          <w:rFonts w:ascii="KFGQPC Uthman Taha Naskh" w:hAnsi="KFGQPC Uthman Taha Naskh" w:cs="KFGQPC Uthman Taha Naskh"/>
          <w:sz w:val="28"/>
          <w:szCs w:val="28"/>
          <w:rtl/>
        </w:rPr>
        <w:t>[</w:t>
      </w:r>
      <w:r w:rsidR="00E96C33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2E74C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كَالسَّمْعِ، وَالذَّوْقِ، وَالشَّمِّ.</w:t>
      </w:r>
      <w:r w:rsidR="00E96C33" w:rsidRPr="00E96C33">
        <w:rPr>
          <w:rFonts w:ascii="KFGQPC Uthman Taha Naskh" w:hAnsi="KFGQPC Uthman Taha Naskh" w:cs="KFGQPC Uthman Taha Naskh"/>
          <w:sz w:val="28"/>
          <w:szCs w:val="28"/>
          <w:rtl/>
        </w:rPr>
        <w:t>]</w:t>
      </w:r>
    </w:p>
    <w:p w:rsidR="00B4069E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خَبَرُ الصَّادِقُ ع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نَو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عَي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: </w:t>
      </w:r>
    </w:p>
    <w:p w:rsidR="00A030DE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أَحَد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ال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خَبَرُ المُتَو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اتِر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الخَبَرُ </w:t>
      </w:r>
      <w:r w:rsidR="00A1140D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[الصَّادِقُ وَ]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ثَّابِت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أ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سِنَة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قَو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مٍ لا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يُت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صوَّرُ تَو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اطُؤ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هُم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1801B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كَذِب،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مُوجِبٌ 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عِل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ِ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الضَّر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ك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عِل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مِ ب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وكِ الخ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الِيَة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الأ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مِنَة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المَاضِيَة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بُلدَان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النّ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ائِي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CD417D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720D8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النوع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الثّ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: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خ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الرّ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وج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الاس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الثّ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الثّ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الض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والثّ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A030DE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ال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لُ: ف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س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ضاً، و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ث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1D722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ض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كال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نّ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جُزْئ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ث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منه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الاس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CD417D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ED342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حّ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الش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الحَق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B4069E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عَا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793EE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F240C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جم</w:t>
      </w:r>
      <w:r w:rsidR="00F240C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يعِ أ</w:t>
      </w:r>
      <w:r w:rsidR="00F240C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جْزَائِهِ 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مُحْ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ثٌ؛ إ</w:t>
      </w:r>
      <w:r w:rsidR="00F240C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F240C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اض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B406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A030DE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ل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امٌ ب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مّ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كّ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أ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كّ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الجُز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لا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</w:p>
    <w:p w:rsidR="00CD417D" w:rsidRPr="004E7A14" w:rsidRDefault="00CD417D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CA37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لا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الأ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ك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270A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الط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الرّ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392032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lastRenderedPageBreak/>
        <w:t>و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دِثُ 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ى، ا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اح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دُ، 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يمُ، الح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يُّ، 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رُ، 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يمُ، السّ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يعُ، ال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يُر، </w:t>
      </w:r>
      <w:proofErr w:type="spellStart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الشّ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proofErr w:type="spellEnd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الم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يد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ضٍ، و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ج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مٍ،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رٍ،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وَّر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ود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ود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عّ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A6426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proofErr w:type="spellStart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زّ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proofErr w:type="spellEnd"/>
      <w:r w:rsidR="005C039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مُت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رَكِّبٍ،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مُت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32019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A9223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وص</w:t>
      </w:r>
      <w:r w:rsidR="00A9223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A9223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A9223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ماه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يف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كان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ع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ز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ش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رت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ش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A030DE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ليّ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قائ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B7A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وَلاَ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ال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القُد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الح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السّ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الإر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يئ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التّ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proofErr w:type="spellStart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الت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proofErr w:type="spellEnd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A71E2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270A9A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لامٍ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�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أ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ل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ج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الح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وف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D224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5C15A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C15A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اف</w:t>
      </w:r>
      <w:r w:rsidR="005C15A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C15A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C15A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لسّ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الآف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لّ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مٌ 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آم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اهٍ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A030DE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آن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غ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وق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اح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وظ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ق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وء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وع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آذ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غ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الٍّ 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ا. </w:t>
      </w:r>
    </w:p>
    <w:p w:rsidR="00270A9A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ٌ 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3B1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أَزَلِيَّةٌ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7527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ج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A74C7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D52D7A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[لاَ فِي الأَزَلِ]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ود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76326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وَهُوَ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وّ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A71E22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أَزَلِيَّةٌ</w:t>
      </w:r>
      <w:r w:rsidR="0017488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قَائِمَةٌ بِذَاتِهِ 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270A9A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76326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E43DF"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 xml:space="preserve">بِالْبَصَرِ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76326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النّ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وَقَد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وَرَدَ الد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يل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السّ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يج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E43DF"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>ا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 تَعَالَى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ي </w:t>
      </w:r>
      <w:r w:rsidR="003E43DF"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>ال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الآخ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</w:t>
      </w:r>
      <w:r w:rsidR="00D52D7A" w:rsidRPr="00D52D7A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E43DF"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>ا</w:t>
      </w:r>
      <w:r w:rsidR="00D52D7A"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>للَّهُ تَعَالَى</w:t>
      </w:r>
      <w:r w:rsidRPr="003E43DF">
        <w:rPr>
          <w:rFonts w:ascii="KFGQPC Uthman Taha Naskh" w:hAnsi="KFGQPC Uthman Taha Naskh" w:cs="KFGQPC Uthman Taha Naskh" w:hint="cs"/>
          <w:color w:val="7030A0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كان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ةٍ 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ابَل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0638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اتّ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شُع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اعٍ أ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ث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وت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اف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الرّ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B4069E" w:rsidRPr="004E7A14" w:rsidRDefault="00270A9A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خال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لأ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ِ،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الطّ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عِصْي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9508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ب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يئ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حُكْم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76326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ير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5B3B0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BE0BFC" w:rsidRPr="004E7A14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lastRenderedPageBreak/>
        <w:t>و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اخ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يُث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ابُون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C35E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وي</w:t>
      </w:r>
      <w:r w:rsidR="0076326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عاقبونَ 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ا.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الحَسَنُ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ب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ى،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يحُ م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5B3B04" w:rsidRPr="004E7A14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الاس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ي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هذ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الاس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س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َل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الآلات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5A26B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حَّة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التّ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يف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دُ هذ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الاس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وَلاَ يُكَلَّفُ الْعَبْدُ بِمَا لَيْسَ فِي وِسْعِهِ.</w:t>
      </w:r>
    </w:p>
    <w:p w:rsidR="00BE0BFC" w:rsidRPr="004E7A14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وج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دُ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الم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وب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ض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EA0945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انٍ، و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الان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ارُ ف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الزّ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انٍ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وما أشبهُ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ك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لّ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ذ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9772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وق</w:t>
      </w:r>
      <w:r w:rsidR="002F18F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لا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صُن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عَ 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لعبدِ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950266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المَو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قائ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يِّت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مَخْلُوق</w:t>
      </w:r>
      <w:r w:rsidR="002F18F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تَعَالَى، لاَ صُنْعَ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يقًا 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ابًا، </w:t>
      </w:r>
    </w:p>
    <w:p w:rsidR="005B3B04" w:rsidRPr="004E7A14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لُ و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اح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D42ED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والح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قٌ، و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لٌّ ي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في 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لاً كان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اماً، و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وّ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غ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438E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وَاللَّهُ تَعَالَى يُضِلُّ مَنْ يَشَاءُ وَيَهْدِي مَنْ يَشَاءُ. وَمَا هُوَ الأَصْلَحُ لِلْعَبْدِ فَلَيْسَ ذلِكَ بِوَاجِبٍ عَلَى اللَّهِ تَعَالَى.</w:t>
      </w:r>
    </w:p>
    <w:p w:rsidR="00BE0BFC" w:rsidRPr="004E7A14" w:rsidRDefault="005B3B04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اف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4075C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2F61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EB071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اة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يمُ أ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4F6A7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الط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8D58E8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="008D58E8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تٌ ب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الدّ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ئ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الس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C87B1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8D58E8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الس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والح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الصِّر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اط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نّ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النّ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وق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5F0E8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الآن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مَوْجُودَتَانِ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اق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لا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نى </w:t>
      </w:r>
      <w:r w:rsidR="00C0457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أهلُهُمَا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BE0BFC" w:rsidRPr="004E7A14" w:rsidRDefault="008D58E8" w:rsidP="00C623D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360" w:hanging="274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8737A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الْعَبْدَ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الإيم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تُدْخ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لُهُ ف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يُش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كَ ب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 </w:t>
      </w:r>
      <w:r w:rsidR="00F3079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دُونَ </w:t>
      </w:r>
      <w:proofErr w:type="spellStart"/>
      <w:r w:rsidR="00F3079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ذَٰلِكَ</w:t>
      </w:r>
      <w:proofErr w:type="spellEnd"/>
      <w:r w:rsidR="00F3079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 مِنَ الصَّغَائِرِ وَالْكَبَائِرِ،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وز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ابُ 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الص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ير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ير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ل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الاس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8D58E8" w:rsidRPr="004E7A14" w:rsidRDefault="008D58E8" w:rsidP="00C623D5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4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lastRenderedPageBreak/>
        <w:t>و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الشّ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ث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لرّ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ي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3E589B" w:rsidRPr="004E7A14">
        <w:rPr>
          <w:rFonts w:ascii="KFGQPC Uthman Taha Naskh" w:hAnsi="KFGQPC Uthman Taha Naskh" w:cs="KFGQPC Uthman Taha Naskh" w:hint="cs"/>
          <w:rtl/>
        </w:rPr>
        <w:t xml:space="preserve"> 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بالمستفيضِ مِنَ الأخبارِ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وأ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الك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وإن ماتوا مِنَ غيرِ توبةٍ</w:t>
      </w:r>
      <w:r w:rsidR="00941FF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الإيم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E077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الش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4623C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ِ: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التّ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ج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الن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عَلَيْهِ الصلاةُ والسَّلاَمُ</w:t>
      </w:r>
      <w:r w:rsidR="003E589B" w:rsidRPr="004E7A14">
        <w:rPr>
          <w:rStyle w:val="FootnoteReference"/>
          <w:rFonts w:ascii="KFGQPC Uthman Taha Naskh" w:hAnsi="KFGQPC Uthman Taha Naskh" w:cs="KFGQPC Uthman Taha Naskh" w:hint="cs"/>
          <w:sz w:val="28"/>
          <w:szCs w:val="28"/>
          <w:vertAlign w:val="baseline"/>
          <w:rtl/>
        </w:rPr>
        <w:t xml:space="preserve"> 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بِهِ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الإق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ِ، </w:t>
      </w:r>
      <w:r w:rsidR="00D363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وَأَمَّا</w:t>
      </w:r>
      <w:r w:rsidR="00D36347" w:rsidRPr="004E7A14">
        <w:rPr>
          <w:rStyle w:val="FootnoteReference"/>
          <w:rFonts w:ascii="KFGQPC Uthman Taha Naskh" w:hAnsi="KFGQPC Uthman Taha Naskh" w:cs="KFGQPC Uthman Taha Naskh" w:hint="cs"/>
          <w:sz w:val="28"/>
          <w:szCs w:val="28"/>
          <w:vertAlign w:val="baseline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E033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يد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وَالإِيمَانُ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اح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دٌ. 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التّ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والإق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حَّ ل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أ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قّا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أ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: أ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ش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8D569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8D58E8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السّ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يد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قى، 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الت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ى 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السَّعَادَةِ وَ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د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الإ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proofErr w:type="spellStart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الإ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8F40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proofErr w:type="spellEnd"/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ص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8D58E8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إ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الرّ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حِكْمةٌ، و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C31F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رُس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لاً م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ى 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الْبَشَرِ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لنّ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اس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الدّ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الدّ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الناق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2B40D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لِلْعَادَاتِ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3E589B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وّ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آد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ُ عَلَيْهِ السَّلاَمُ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آخ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ُهُمْ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مُحَم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ٌ 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</w:rPr>
        <w:t>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صلى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عَلَيْهِ 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وس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8D58E8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ب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يث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أ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لا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ع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التّ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؛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قال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تَعَالَى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: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﴿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.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مِنْه</w:t>
      </w:r>
      <w:r w:rsidR="00A05A6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 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 قَصَصْن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عَلَيْكَ وَمِنْه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 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مَّن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0F58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نَقْصُصْ عَلَيْكَ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. .﴾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(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غافر، 40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 xml:space="preserve"> :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78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 xml:space="preserve"> </w:t>
      </w:r>
      <w:r w:rsidR="00ED092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)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ؤ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ذ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مَنْ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 هُوَ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لّ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وا 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F15BB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F7109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ى، ص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اص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وَأَفْضَلُ الأَنْبِيَاءِ مُحَمَّدٌ 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</w:rPr>
        <w:t></w:t>
      </w:r>
      <w:r w:rsidR="001D6EB3" w:rsidRPr="004E7A14">
        <w:rPr>
          <w:rFonts w:ascii="KFGQPC Uthman Taha Naskh" w:hAnsi="KFGQPC Uthman Taha Naskh" w:cs="KFGQPC Uthman Taha Naskh" w:hint="cs"/>
          <w:sz w:val="22"/>
          <w:szCs w:val="22"/>
          <w:rtl/>
        </w:rPr>
        <w:t xml:space="preserve"> </w:t>
      </w:r>
      <w:r w:rsidR="001D6EB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عَلَيْهِ الصلاةُ و السَّلاَمُ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8D58E8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64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وص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وث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="003572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ها ع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َّن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�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يد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6C148E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صَلَّى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عَلَيْهِ وسَلَّمَ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السّ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ث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مّ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م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ش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9D28A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عُلَى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حَقٌّ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6C148E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lastRenderedPageBreak/>
        <w:t>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ف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ط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D07A1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ي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اف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يد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الطّ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الشّ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اس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الح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الماء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والط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يَر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الج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َا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ذل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مِن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ذل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لرّ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ظ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هذ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اح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دٍ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أُمَّتِه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؛ لأ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نّ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ليٌّ، و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يّا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لاّ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قّاً ف</w:t>
      </w:r>
      <w:r w:rsidR="003632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د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الإ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6C148E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يّ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ا: أ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 ب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الص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8C36E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رَضِيَ اللَّهُ عَنْهُ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ث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مّ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وق</w:t>
      </w:r>
      <w:r w:rsidR="00F33C2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ثُمَّ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مان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ذ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 النّ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ثُمَّ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ضى ر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8C36E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82C9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F524A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وَالْخِلَافَةُ 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ثَابِتَةٌ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هذ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التّ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يب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أَيْضاً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اف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ث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اث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س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ً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E589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ثُمَّ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مُلْكٌ و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َإِ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مار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6C148E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ب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دّ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، 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يذ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EE48C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ود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وس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دّ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ث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ور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يز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ج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وش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ص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لّ</w:t>
      </w:r>
      <w:r w:rsidR="001F3516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صّ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طّ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الطّ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الجُمَعِ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از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اق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وَقَبُولِ الشَّهَادَاتِ الْقَائِمَةِ عَلَى الحُقُوقِ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AE77D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يج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الص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ار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الصّ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 وَنَحْوِ ذلِكَ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C4F8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247C5C" w:rsidRPr="004E7A14" w:rsidRDefault="003C4F8F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ثُمَّ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أ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الإ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ظ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راً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ل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ياً و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م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راً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E33ED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يش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وز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صّ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ني 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اش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اد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ر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 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33255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 فِي الإمَامِ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وماً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ز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مِنْ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اي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المُطْلَقَةِ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كام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س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ساً قاد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راً ع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ت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يذ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كام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ود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 دَارِ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الإ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61646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َاْسْتِخْلَاصِ حَقِّ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ظ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م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الظ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الإِمَامُ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6C148E"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  <w:r w:rsidR="00BE0BF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</w:p>
    <w:p w:rsidR="006C148E" w:rsidRPr="004E7A14" w:rsidRDefault="00BE0BFC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وَتَجُوزُ الصَّلَاةُ خَلْفَ كُلِّ بَرٍّ وَفَاجِرٍ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وَيُصَلِّى عَلَى كُلِّ بَرٍّ وَفَاجِرٍ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247C5C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فّ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ذ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الص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1409A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="00B426A8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BE0BFC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الجَنَّة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 الم</w:t>
      </w:r>
      <w:r w:rsidR="003D77F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3D77F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3D77F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D77F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D77F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ين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شّ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النبي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صَلَّى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عَلَيْهِ وسَلَّمَ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الج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نَّة</w:t>
      </w:r>
      <w:r w:rsidR="009315B9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. </w:t>
      </w:r>
    </w:p>
    <w:p w:rsidR="00BE0BFC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lastRenderedPageBreak/>
        <w:t>و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الم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1C346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الخُفَّي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الحَضَرِ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السّ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، 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رّ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يذ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التَّمْرِ.</w:t>
      </w:r>
    </w:p>
    <w:p w:rsidR="005813AE" w:rsidRPr="004E7A14" w:rsidRDefault="006C148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د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 أَصْلاً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ح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ث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الن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13AE"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النّ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وص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ت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EA1DAA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ظ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ا، و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إ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م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انٍ ي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دّ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يه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اط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إ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6B0F4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ادٌ </w:t>
      </w:r>
      <w:r w:rsidR="000538E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كُفْر، و</w:t>
      </w:r>
      <w:r w:rsidR="00F2234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2234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دُّ النّ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وص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A71E2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وَالاسْتِهَانَةُ بِهَا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الاس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357FB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الشّ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كُفْر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="00970C4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رحمةِ 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اللَّهِ 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كُفْر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الأ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ذ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اللَّهِ </w:t>
      </w:r>
      <w:r w:rsidR="00970C43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تَعَالَى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كُفْر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="00A71E2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يق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00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اه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00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ُهُ</w:t>
      </w:r>
      <w:r w:rsidR="005800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ك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ب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ء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ٍ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5813AE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د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اء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لأ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صَدَق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ن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 والل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="005800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ى ي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9672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يب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الدّ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 الح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ات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 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="005800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8193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08193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الن</w:t>
      </w:r>
      <w:r w:rsidR="0008193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08193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08193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صَلَّى 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عَلَيْهِ وسَلَّمَ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اط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السّ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: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392032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الد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ابّ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ز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يسى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السّ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 مِنَ السَّمَاءِ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الشّ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غ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فَهُوَ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56C7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حَق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ٌّ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BE0BFC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الم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ج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ت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ه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ق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خ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طئ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ق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د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ي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ص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يب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8D58E8" w:rsidRPr="004E7A14" w:rsidRDefault="005813AE" w:rsidP="00950266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bidi/>
        <w:adjustRightInd w:val="0"/>
        <w:spacing w:line="360" w:lineRule="auto"/>
        <w:ind w:left="360" w:hanging="270"/>
        <w:rPr>
          <w:rFonts w:ascii="KFGQPC Uthman Taha Naskh" w:hAnsi="KFGQPC Uthman Taha Naskh" w:cs="KFGQPC Uthman Taha Naskh"/>
          <w:sz w:val="28"/>
          <w:szCs w:val="28"/>
          <w:rtl/>
        </w:rPr>
      </w:pP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ب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ش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ف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ض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</w:t>
      </w:r>
      <w:r w:rsidR="00DB60F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ر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س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المَلَائِكَةِ أَفْضَلُ 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مِنْ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امّ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الْبَشَرِ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، و</w:t>
      </w:r>
      <w:r w:rsidR="00FB2D81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َعَامَّةُ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7E03FF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الْبَشَرِ أَفْضَلُ 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ن</w:t>
      </w:r>
      <w:r w:rsidR="009F65CB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ع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امّ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الم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ائ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ك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ة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ِ</w:t>
      </w:r>
      <w:r w:rsidR="00544ECC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وا</w:t>
      </w:r>
      <w:r w:rsidR="00E05564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للَّهُ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 xml:space="preserve"> أ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ع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ْ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ل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َ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م</w:t>
      </w:r>
      <w:r w:rsidR="00423D60"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ُ</w:t>
      </w:r>
      <w:r w:rsidRPr="004E7A14">
        <w:rPr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C56403" w:rsidRPr="0060588A" w:rsidRDefault="00C56403" w:rsidP="003933D7">
      <w:pPr>
        <w:pStyle w:val="a"/>
        <w:rPr>
          <w:sz w:val="21"/>
          <w:szCs w:val="21"/>
          <w:rtl/>
        </w:rPr>
      </w:pPr>
    </w:p>
    <w:sectPr w:rsidR="00C56403" w:rsidRPr="0060588A" w:rsidSect="00970E2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5F82" w:rsidRDefault="00CA5F82" w:rsidP="002F618F">
      <w:r>
        <w:separator/>
      </w:r>
    </w:p>
  </w:endnote>
  <w:endnote w:type="continuationSeparator" w:id="0">
    <w:p w:rsidR="00CA5F82" w:rsidRDefault="00CA5F82" w:rsidP="002F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iri">
    <w:panose1 w:val="00000500000000000000"/>
    <w:charset w:val="B2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124693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D1E2C" w:rsidRDefault="00BD1E2C" w:rsidP="00401E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D1E2C" w:rsidRDefault="00BD1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1E2C" w:rsidRPr="00C16748" w:rsidRDefault="00BD1E2C" w:rsidP="003933D7">
    <w:pPr>
      <w:pStyle w:val="Footer"/>
      <w:bidi/>
      <w:rPr>
        <w:rFonts w:ascii="KFGQPC Uthman Taha Naskh" w:hAnsi="KFGQPC Uthman Taha Naskh" w:cs="KFGQPC Uthman Taha Nas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5F82" w:rsidRDefault="00CA5F82" w:rsidP="004F6A74">
      <w:pPr>
        <w:bidi/>
      </w:pPr>
      <w:r>
        <w:separator/>
      </w:r>
    </w:p>
  </w:footnote>
  <w:footnote w:type="continuationSeparator" w:id="0">
    <w:p w:rsidR="00CA5F82" w:rsidRDefault="00CA5F82" w:rsidP="004F6A74">
      <w:pPr>
        <w:bidi/>
      </w:pPr>
      <w:r>
        <w:continuationSeparator/>
      </w:r>
    </w:p>
  </w:footnote>
  <w:footnote w:type="continuationNotice" w:id="1">
    <w:p w:rsidR="00CA5F82" w:rsidRDefault="00CA5F82" w:rsidP="004F6A74">
      <w:pPr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F6727"/>
    <w:multiLevelType w:val="hybridMultilevel"/>
    <w:tmpl w:val="D20C95BE"/>
    <w:lvl w:ilvl="0" w:tplc="1C66FAC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KFGQPC Uthman Taha Naskh" w:hAnsi="KFGQPC Uthman Taha Naskh" w:cs="KFGQPC Uthman Taha Naskh" w:hint="cs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7D"/>
    <w:rsid w:val="00010301"/>
    <w:rsid w:val="000153D6"/>
    <w:rsid w:val="000538E0"/>
    <w:rsid w:val="0008193B"/>
    <w:rsid w:val="000C2FD4"/>
    <w:rsid w:val="000D2D01"/>
    <w:rsid w:val="000E1669"/>
    <w:rsid w:val="000E324F"/>
    <w:rsid w:val="000E7F55"/>
    <w:rsid w:val="000F581D"/>
    <w:rsid w:val="001179BE"/>
    <w:rsid w:val="001409A7"/>
    <w:rsid w:val="00146926"/>
    <w:rsid w:val="0016308C"/>
    <w:rsid w:val="00174882"/>
    <w:rsid w:val="001801BC"/>
    <w:rsid w:val="00182C92"/>
    <w:rsid w:val="001C346F"/>
    <w:rsid w:val="001D06C1"/>
    <w:rsid w:val="001D3397"/>
    <w:rsid w:val="001D6EB3"/>
    <w:rsid w:val="001D722F"/>
    <w:rsid w:val="001F3516"/>
    <w:rsid w:val="00201CFF"/>
    <w:rsid w:val="002054B8"/>
    <w:rsid w:val="00247C5C"/>
    <w:rsid w:val="00252006"/>
    <w:rsid w:val="0025239B"/>
    <w:rsid w:val="00270A9A"/>
    <w:rsid w:val="002B40D7"/>
    <w:rsid w:val="002B5691"/>
    <w:rsid w:val="002B7672"/>
    <w:rsid w:val="002E74C2"/>
    <w:rsid w:val="002F0F1A"/>
    <w:rsid w:val="002F18F6"/>
    <w:rsid w:val="002F2337"/>
    <w:rsid w:val="002F3652"/>
    <w:rsid w:val="002F618F"/>
    <w:rsid w:val="0032019E"/>
    <w:rsid w:val="0033255E"/>
    <w:rsid w:val="00342E18"/>
    <w:rsid w:val="00353B1B"/>
    <w:rsid w:val="003564CC"/>
    <w:rsid w:val="00357260"/>
    <w:rsid w:val="00357FB2"/>
    <w:rsid w:val="0036329B"/>
    <w:rsid w:val="0036427E"/>
    <w:rsid w:val="003759D0"/>
    <w:rsid w:val="00392032"/>
    <w:rsid w:val="003933D7"/>
    <w:rsid w:val="003A0091"/>
    <w:rsid w:val="003A0740"/>
    <w:rsid w:val="003A7DDF"/>
    <w:rsid w:val="003B14B9"/>
    <w:rsid w:val="003B46CC"/>
    <w:rsid w:val="003B7ABA"/>
    <w:rsid w:val="003C4F8F"/>
    <w:rsid w:val="003D77F3"/>
    <w:rsid w:val="003E43DF"/>
    <w:rsid w:val="003E589B"/>
    <w:rsid w:val="00401E95"/>
    <w:rsid w:val="004075C0"/>
    <w:rsid w:val="00423D60"/>
    <w:rsid w:val="00430961"/>
    <w:rsid w:val="004623CF"/>
    <w:rsid w:val="0047469B"/>
    <w:rsid w:val="00496EB1"/>
    <w:rsid w:val="004B16C3"/>
    <w:rsid w:val="004C3618"/>
    <w:rsid w:val="004E7A14"/>
    <w:rsid w:val="004F6A74"/>
    <w:rsid w:val="005438EA"/>
    <w:rsid w:val="00544ECC"/>
    <w:rsid w:val="005800CC"/>
    <w:rsid w:val="005813AE"/>
    <w:rsid w:val="005916D4"/>
    <w:rsid w:val="00597721"/>
    <w:rsid w:val="00597A51"/>
    <w:rsid w:val="005A26B7"/>
    <w:rsid w:val="005A5F8D"/>
    <w:rsid w:val="005B1138"/>
    <w:rsid w:val="005B3B04"/>
    <w:rsid w:val="005B3E34"/>
    <w:rsid w:val="005C0390"/>
    <w:rsid w:val="005C15A1"/>
    <w:rsid w:val="005D3A4E"/>
    <w:rsid w:val="005D525B"/>
    <w:rsid w:val="005F0E8C"/>
    <w:rsid w:val="0060588A"/>
    <w:rsid w:val="0061646E"/>
    <w:rsid w:val="00677C64"/>
    <w:rsid w:val="006A384E"/>
    <w:rsid w:val="006B0F47"/>
    <w:rsid w:val="006C148E"/>
    <w:rsid w:val="006C35E4"/>
    <w:rsid w:val="006D09AE"/>
    <w:rsid w:val="006F16D5"/>
    <w:rsid w:val="0071504F"/>
    <w:rsid w:val="00720D8B"/>
    <w:rsid w:val="0076326C"/>
    <w:rsid w:val="007753CC"/>
    <w:rsid w:val="00780D67"/>
    <w:rsid w:val="00793EE6"/>
    <w:rsid w:val="007B623E"/>
    <w:rsid w:val="007D4BEF"/>
    <w:rsid w:val="007E03FF"/>
    <w:rsid w:val="007E56C7"/>
    <w:rsid w:val="00821BC3"/>
    <w:rsid w:val="0082579B"/>
    <w:rsid w:val="008737AC"/>
    <w:rsid w:val="00887681"/>
    <w:rsid w:val="008C36EF"/>
    <w:rsid w:val="008C3C69"/>
    <w:rsid w:val="008D569A"/>
    <w:rsid w:val="008D58E8"/>
    <w:rsid w:val="008D5A13"/>
    <w:rsid w:val="008E53F8"/>
    <w:rsid w:val="008F40CB"/>
    <w:rsid w:val="00905155"/>
    <w:rsid w:val="00906380"/>
    <w:rsid w:val="00916C06"/>
    <w:rsid w:val="009315B9"/>
    <w:rsid w:val="00941FFA"/>
    <w:rsid w:val="00950266"/>
    <w:rsid w:val="009508DE"/>
    <w:rsid w:val="009672C7"/>
    <w:rsid w:val="00970C43"/>
    <w:rsid w:val="00970E2A"/>
    <w:rsid w:val="00981043"/>
    <w:rsid w:val="009A550E"/>
    <w:rsid w:val="009C1038"/>
    <w:rsid w:val="009D28AF"/>
    <w:rsid w:val="009D3A07"/>
    <w:rsid w:val="009F2E70"/>
    <w:rsid w:val="009F65CB"/>
    <w:rsid w:val="00A030DE"/>
    <w:rsid w:val="00A05A6B"/>
    <w:rsid w:val="00A1140D"/>
    <w:rsid w:val="00A14A20"/>
    <w:rsid w:val="00A32E26"/>
    <w:rsid w:val="00A36C96"/>
    <w:rsid w:val="00A6426A"/>
    <w:rsid w:val="00A71E22"/>
    <w:rsid w:val="00A74C7E"/>
    <w:rsid w:val="00A8586E"/>
    <w:rsid w:val="00A92231"/>
    <w:rsid w:val="00AD6DA3"/>
    <w:rsid w:val="00AE77DB"/>
    <w:rsid w:val="00B35756"/>
    <w:rsid w:val="00B4069E"/>
    <w:rsid w:val="00B426A8"/>
    <w:rsid w:val="00B81F84"/>
    <w:rsid w:val="00BC31E2"/>
    <w:rsid w:val="00BD1E2C"/>
    <w:rsid w:val="00BE0BFC"/>
    <w:rsid w:val="00C01C66"/>
    <w:rsid w:val="00C0457F"/>
    <w:rsid w:val="00C16748"/>
    <w:rsid w:val="00C31FBA"/>
    <w:rsid w:val="00C3733E"/>
    <w:rsid w:val="00C56403"/>
    <w:rsid w:val="00C623D5"/>
    <w:rsid w:val="00C75272"/>
    <w:rsid w:val="00C87B10"/>
    <w:rsid w:val="00CA031C"/>
    <w:rsid w:val="00CA372B"/>
    <w:rsid w:val="00CA5F82"/>
    <w:rsid w:val="00CD417D"/>
    <w:rsid w:val="00CE4BD6"/>
    <w:rsid w:val="00CF2167"/>
    <w:rsid w:val="00D07A1D"/>
    <w:rsid w:val="00D22445"/>
    <w:rsid w:val="00D33465"/>
    <w:rsid w:val="00D36347"/>
    <w:rsid w:val="00D42EDE"/>
    <w:rsid w:val="00D5237C"/>
    <w:rsid w:val="00D52D7A"/>
    <w:rsid w:val="00D817A7"/>
    <w:rsid w:val="00D86A22"/>
    <w:rsid w:val="00DA2276"/>
    <w:rsid w:val="00DA496C"/>
    <w:rsid w:val="00DB60FB"/>
    <w:rsid w:val="00DF5FDE"/>
    <w:rsid w:val="00E033B2"/>
    <w:rsid w:val="00E05564"/>
    <w:rsid w:val="00E077AA"/>
    <w:rsid w:val="00E27348"/>
    <w:rsid w:val="00E8742D"/>
    <w:rsid w:val="00E9244A"/>
    <w:rsid w:val="00E96C33"/>
    <w:rsid w:val="00EA0945"/>
    <w:rsid w:val="00EA1DAA"/>
    <w:rsid w:val="00EB06C9"/>
    <w:rsid w:val="00EB0714"/>
    <w:rsid w:val="00ED092D"/>
    <w:rsid w:val="00ED342C"/>
    <w:rsid w:val="00EE48CA"/>
    <w:rsid w:val="00F10288"/>
    <w:rsid w:val="00F1262C"/>
    <w:rsid w:val="00F15BBA"/>
    <w:rsid w:val="00F203AA"/>
    <w:rsid w:val="00F22340"/>
    <w:rsid w:val="00F23742"/>
    <w:rsid w:val="00F240C6"/>
    <w:rsid w:val="00F3079F"/>
    <w:rsid w:val="00F33C2B"/>
    <w:rsid w:val="00F524A6"/>
    <w:rsid w:val="00F632BC"/>
    <w:rsid w:val="00F71094"/>
    <w:rsid w:val="00F7681F"/>
    <w:rsid w:val="00F8245E"/>
    <w:rsid w:val="00FB2D81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91A0685-F101-8A44-91D2-A011C22A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55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F61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61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18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05564"/>
    <w:rPr>
      <w:i/>
      <w:iCs/>
    </w:rPr>
  </w:style>
  <w:style w:type="character" w:customStyle="1" w:styleId="apple-converted-space">
    <w:name w:val="apple-converted-space"/>
    <w:basedOn w:val="DefaultParagraphFont"/>
    <w:rsid w:val="00E05564"/>
  </w:style>
  <w:style w:type="paragraph" w:styleId="Header">
    <w:name w:val="header"/>
    <w:basedOn w:val="Normal"/>
    <w:link w:val="HeaderChar"/>
    <w:uiPriority w:val="99"/>
    <w:unhideWhenUsed/>
    <w:rsid w:val="00970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E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E2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70E2A"/>
  </w:style>
  <w:style w:type="paragraph" w:styleId="ListParagraph">
    <w:name w:val="List Paragraph"/>
    <w:basedOn w:val="Normal"/>
    <w:uiPriority w:val="34"/>
    <w:qFormat/>
    <w:rsid w:val="00247C5C"/>
    <w:pPr>
      <w:ind w:left="720"/>
      <w:contextualSpacing/>
    </w:pPr>
  </w:style>
  <w:style w:type="paragraph" w:customStyle="1" w:styleId="a">
    <w:name w:val="عنوان"/>
    <w:basedOn w:val="Normal"/>
    <w:qFormat/>
    <w:rsid w:val="00DA496C"/>
    <w:pPr>
      <w:keepNext/>
      <w:autoSpaceDE w:val="0"/>
      <w:autoSpaceDN w:val="0"/>
      <w:bidi/>
      <w:adjustRightInd w:val="0"/>
      <w:spacing w:before="240" w:after="240" w:line="276" w:lineRule="auto"/>
      <w:ind w:left="360"/>
      <w:jc w:val="center"/>
    </w:pPr>
    <w:rPr>
      <w:rFonts w:ascii="KFGQPC Uthman Taha Naskh" w:hAnsi="KFGQPC Uthman Taha Naskh" w:cs="KFGQPC Uthman Taha Naskh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8B9F84-7B0C-CE47-95D6-EB950A8D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Hozien, Muhammad</dc:creator>
  <cp:keywords/>
  <dc:description/>
  <cp:lastModifiedBy>Hozien, Muhammad</cp:lastModifiedBy>
  <cp:revision>2</cp:revision>
  <cp:lastPrinted>2020-07-05T22:31:00Z</cp:lastPrinted>
  <dcterms:created xsi:type="dcterms:W3CDTF">2020-07-19T05:47:00Z</dcterms:created>
  <dcterms:modified xsi:type="dcterms:W3CDTF">2020-07-19T05:47:00Z</dcterms:modified>
</cp:coreProperties>
</file>